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08" w:rsidRPr="005114FA" w:rsidRDefault="002D4208" w:rsidP="002D420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5114FA">
        <w:rPr>
          <w:b/>
          <w:bCs/>
          <w:shd w:val="clear" w:color="auto" w:fill="FFFFFF"/>
        </w:rPr>
        <w:t>Перечень</w:t>
      </w:r>
      <w:r w:rsidRPr="005114FA">
        <w:rPr>
          <w:b/>
          <w:bCs/>
        </w:rPr>
        <w:t xml:space="preserve"> </w:t>
      </w:r>
      <w:r w:rsidRPr="005114FA">
        <w:rPr>
          <w:b/>
          <w:bCs/>
          <w:shd w:val="clear" w:color="auto" w:fill="FFFFFF"/>
        </w:rPr>
        <w:t>выполняемых работ (оказываемых услуг) по техническому обслуживанию и ремонту внутридомового и (или) внутриквартирного газового оборудования (утв.</w:t>
      </w:r>
      <w:r w:rsidRPr="005114FA">
        <w:rPr>
          <w:rStyle w:val="apple-converted-space"/>
          <w:b/>
          <w:bCs/>
          <w:shd w:val="clear" w:color="auto" w:fill="FFFFFF"/>
        </w:rPr>
        <w:t> </w:t>
      </w:r>
      <w:hyperlink r:id="rId5" w:history="1">
        <w:r w:rsidRPr="005114FA">
          <w:rPr>
            <w:rStyle w:val="a3"/>
            <w:b/>
            <w:bCs/>
            <w:shd w:val="clear" w:color="auto" w:fill="FFFFFF"/>
          </w:rPr>
          <w:t>постановлением</w:t>
        </w:r>
      </w:hyperlink>
      <w:r w:rsidRPr="005114FA">
        <w:rPr>
          <w:rStyle w:val="apple-converted-space"/>
          <w:b/>
          <w:bCs/>
          <w:shd w:val="clear" w:color="auto" w:fill="FFFFFF"/>
        </w:rPr>
        <w:t> </w:t>
      </w:r>
      <w:r w:rsidRPr="005114FA">
        <w:rPr>
          <w:b/>
          <w:bCs/>
          <w:shd w:val="clear" w:color="auto" w:fill="FFFFFF"/>
        </w:rPr>
        <w:t>Правительства РФ от 14 мая 2013 г. N 410)</w:t>
      </w:r>
    </w:p>
    <w:p w:rsidR="002D4208" w:rsidRPr="005114FA" w:rsidRDefault="002D4208" w:rsidP="002D4208">
      <w:pPr>
        <w:pStyle w:val="s1"/>
        <w:shd w:val="clear" w:color="auto" w:fill="FFFFFF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  <w:jc w:val="center"/>
            </w:pPr>
            <w:r w:rsidRPr="005114FA">
              <w:t>Наименование работы</w:t>
            </w:r>
          </w:p>
          <w:p w:rsidR="002D4208" w:rsidRPr="005114FA" w:rsidRDefault="002D4208" w:rsidP="006D2866">
            <w:pPr>
              <w:pStyle w:val="ConsPlusNormal"/>
              <w:jc w:val="center"/>
            </w:pP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3. Визуальная проверка состояния окраски и креплений газопровода (осмотр)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 xml:space="preserve">5. Проверка герметичности соединений и отключающих устройств (приборный метод, </w:t>
            </w:r>
            <w:proofErr w:type="spellStart"/>
            <w:r w:rsidRPr="005114FA">
              <w:t>обмыливание</w:t>
            </w:r>
            <w:proofErr w:type="spellEnd"/>
            <w:r w:rsidRPr="005114FA">
              <w:t>)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6. Проверка работоспособности и смазка отключающих устройств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7. Разборка и смазка кранов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9. Регулировка процесса сжигания газа на всех режимах работы, очистка горелок от загрязнений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10. Проверка наличия тяги в вентиляционных каналах</w:t>
            </w:r>
          </w:p>
        </w:tc>
      </w:tr>
      <w:tr w:rsidR="002D4208" w:rsidRPr="005114FA" w:rsidTr="006D2866">
        <w:tc>
          <w:tcPr>
            <w:tcW w:w="9464" w:type="dxa"/>
          </w:tcPr>
          <w:p w:rsidR="002D4208" w:rsidRPr="005114FA" w:rsidRDefault="002D4208" w:rsidP="006D2866">
            <w:pPr>
              <w:pStyle w:val="ConsPlusNormal"/>
            </w:pPr>
            <w:r w:rsidRPr="005114FA">
              <w:t>11. Инструктаж потребителей газа по безопасному использованию газа при удовлетворении коммунально-бытовых нужд</w:t>
            </w:r>
          </w:p>
          <w:p w:rsidR="002D4208" w:rsidRPr="005114FA" w:rsidRDefault="002D4208" w:rsidP="006D2866">
            <w:pPr>
              <w:pStyle w:val="ConsPlusNormal"/>
            </w:pPr>
          </w:p>
        </w:tc>
      </w:tr>
    </w:tbl>
    <w:p w:rsidR="00600F89" w:rsidRDefault="00600F89">
      <w:bookmarkStart w:id="0" w:name="_GoBack"/>
      <w:bookmarkEnd w:id="0"/>
    </w:p>
    <w:sectPr w:rsidR="0060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08"/>
    <w:rsid w:val="002D4208"/>
    <w:rsid w:val="006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8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08"/>
  </w:style>
  <w:style w:type="character" w:styleId="a3">
    <w:name w:val="Hyperlink"/>
    <w:basedOn w:val="a0"/>
    <w:uiPriority w:val="99"/>
    <w:semiHidden/>
    <w:unhideWhenUsed/>
    <w:rsid w:val="002D4208"/>
    <w:rPr>
      <w:color w:val="0000FF"/>
      <w:u w:val="single"/>
    </w:rPr>
  </w:style>
  <w:style w:type="table" w:styleId="a4">
    <w:name w:val="Table Grid"/>
    <w:basedOn w:val="a1"/>
    <w:uiPriority w:val="59"/>
    <w:rsid w:val="002D4208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208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8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08"/>
  </w:style>
  <w:style w:type="character" w:styleId="a3">
    <w:name w:val="Hyperlink"/>
    <w:basedOn w:val="a0"/>
    <w:uiPriority w:val="99"/>
    <w:semiHidden/>
    <w:unhideWhenUsed/>
    <w:rsid w:val="002D4208"/>
    <w:rPr>
      <w:color w:val="0000FF"/>
      <w:u w:val="single"/>
    </w:rPr>
  </w:style>
  <w:style w:type="table" w:styleId="a4">
    <w:name w:val="Table Grid"/>
    <w:basedOn w:val="a1"/>
    <w:uiPriority w:val="59"/>
    <w:rsid w:val="002D4208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208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3816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П. Бондаренко</dc:creator>
  <cp:lastModifiedBy>А П. Бондаренко</cp:lastModifiedBy>
  <cp:revision>1</cp:revision>
  <dcterms:created xsi:type="dcterms:W3CDTF">2020-06-17T05:57:00Z</dcterms:created>
  <dcterms:modified xsi:type="dcterms:W3CDTF">2020-06-17T06:01:00Z</dcterms:modified>
</cp:coreProperties>
</file>